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F227719" w:rsidR="00F92268" w:rsidRPr="00AB4D92" w:rsidRDefault="00A11907" w:rsidP="00A11907">
            <w:pPr>
              <w:pStyle w:val="BodyText"/>
              <w:rPr>
                <w:sz w:val="16"/>
                <w:szCs w:val="16"/>
              </w:rPr>
            </w:pPr>
            <w:r w:rsidRPr="00AB4D92">
              <w:rPr>
                <w:sz w:val="16"/>
                <w:szCs w:val="16"/>
              </w:rPr>
              <w:t>3818-A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E54FF7E" w:rsidR="004B15BB" w:rsidRPr="00BD1CC1" w:rsidRDefault="00A11907" w:rsidP="007E5C16">
      <w:pPr>
        <w:pStyle w:val="Heading1"/>
      </w:pPr>
      <w:r>
        <w:t>Specialty Guideline Management</w:t>
      </w:r>
      <w:r w:rsidR="008C54D9" w:rsidRPr="00BD1CC1">
        <w:br/>
      </w:r>
      <w:proofErr w:type="spellStart"/>
      <w:r w:rsidR="00DE5584" w:rsidRPr="00DE5584">
        <w:rPr>
          <w:rStyle w:val="normaltextrun"/>
          <w:rFonts w:ascii="Arial" w:hAnsi="Arial" w:cs="Arial"/>
        </w:rPr>
        <w:t>T</w:t>
      </w:r>
      <w:r w:rsidR="00DE5584">
        <w:rPr>
          <w:rStyle w:val="normaltextrun"/>
          <w:rFonts w:ascii="Arial" w:hAnsi="Arial" w:cs="Arial"/>
        </w:rPr>
        <w:t>rodelvy</w:t>
      </w:r>
      <w:proofErr w:type="spellEnd"/>
    </w:p>
    <w:p w14:paraId="78861C92" w14:textId="3A9FEEA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EFF50C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11DB4">
        <w:t>Over-the-counter (</w:t>
      </w:r>
      <w:r w:rsidRPr="00BD1CC1">
        <w:t>OTC</w:t>
      </w:r>
      <w:r w:rsidR="00F11DB4">
        <w:t>)</w:t>
      </w:r>
      <w:r w:rsidRPr="00BD1CC1">
        <w:t xml:space="preserve"> products are not included unless otherwise stated.</w:t>
      </w:r>
    </w:p>
    <w:tbl>
      <w:tblPr>
        <w:tblStyle w:val="TableGrid"/>
        <w:tblW w:w="107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28"/>
        <w:gridCol w:w="5556"/>
      </w:tblGrid>
      <w:tr w:rsidR="00252CE1" w:rsidRPr="00BD1CC1" w14:paraId="158421F8" w14:textId="77777777" w:rsidTr="004E5C2B">
        <w:trPr>
          <w:cantSplit/>
          <w:trHeight w:val="268"/>
          <w:tblHeader/>
        </w:trPr>
        <w:tc>
          <w:tcPr>
            <w:tcW w:w="5228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56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4E5C2B">
        <w:trPr>
          <w:cantSplit/>
          <w:trHeight w:val="265"/>
        </w:trPr>
        <w:tc>
          <w:tcPr>
            <w:tcW w:w="5228" w:type="dxa"/>
          </w:tcPr>
          <w:p w14:paraId="2D8FA8E3" w14:textId="6F197F59" w:rsidR="00585FFF" w:rsidRPr="00BD1CC1" w:rsidRDefault="00A441F6" w:rsidP="00E82ABA">
            <w:pPr>
              <w:pStyle w:val="TableDataUnpadded"/>
            </w:pPr>
            <w:proofErr w:type="spellStart"/>
            <w:r>
              <w:t>Trodelvy</w:t>
            </w:r>
            <w:proofErr w:type="spellEnd"/>
          </w:p>
        </w:tc>
        <w:tc>
          <w:tcPr>
            <w:tcW w:w="5556" w:type="dxa"/>
          </w:tcPr>
          <w:p w14:paraId="7E26A004" w14:textId="58B18404" w:rsidR="00585FFF" w:rsidRPr="00BD1CC1" w:rsidRDefault="00AB4D92" w:rsidP="00E82ABA">
            <w:pPr>
              <w:pStyle w:val="TableDataUnpadded"/>
            </w:pPr>
            <w:proofErr w:type="spellStart"/>
            <w:r>
              <w:rPr>
                <w:rStyle w:val="normaltextrun"/>
                <w:rFonts w:ascii="Arial" w:hAnsi="Arial"/>
              </w:rPr>
              <w:t>s</w:t>
            </w:r>
            <w:r w:rsidR="00A441F6">
              <w:rPr>
                <w:rStyle w:val="normaltextrun"/>
                <w:rFonts w:ascii="Arial" w:hAnsi="Arial"/>
              </w:rPr>
              <w:t>acituzumab</w:t>
            </w:r>
            <w:proofErr w:type="spellEnd"/>
            <w:r w:rsidR="00A441F6">
              <w:rPr>
                <w:rStyle w:val="normaltextrun"/>
                <w:rFonts w:ascii="Arial" w:hAnsi="Arial"/>
              </w:rPr>
              <w:t xml:space="preserve"> </w:t>
            </w:r>
            <w:proofErr w:type="spellStart"/>
            <w:r>
              <w:rPr>
                <w:rStyle w:val="normaltextrun"/>
                <w:rFonts w:ascii="Arial" w:hAnsi="Arial"/>
              </w:rPr>
              <w:t>g</w:t>
            </w:r>
            <w:r w:rsidR="00A441F6">
              <w:rPr>
                <w:rStyle w:val="normaltextrun"/>
                <w:rFonts w:ascii="Arial" w:hAnsi="Arial"/>
              </w:rPr>
              <w:t>ovitecan-</w:t>
            </w:r>
            <w:r>
              <w:rPr>
                <w:rStyle w:val="normaltextrun"/>
                <w:rFonts w:ascii="Arial" w:hAnsi="Arial"/>
              </w:rPr>
              <w:t>hziy</w:t>
            </w:r>
            <w:proofErr w:type="spellEnd"/>
          </w:p>
        </w:tc>
      </w:tr>
    </w:tbl>
    <w:bookmarkEnd w:id="0"/>
    <w:p w14:paraId="346382ED" w14:textId="77777777" w:rsidR="004E5C2B" w:rsidRPr="004E5C2B" w:rsidRDefault="00ED052F" w:rsidP="004E5C2B">
      <w:pPr>
        <w:pStyle w:val="Heading2"/>
        <w:tabs>
          <w:tab w:val="left" w:pos="9195"/>
        </w:tabs>
      </w:pPr>
      <w:r>
        <w:t>Indications</w:t>
      </w:r>
    </w:p>
    <w:p w14:paraId="4ECC6CDC" w14:textId="24358607" w:rsidR="00124366" w:rsidRPr="00124366" w:rsidRDefault="00124366" w:rsidP="004E5C2B">
      <w:pPr>
        <w:pStyle w:val="BodyText"/>
      </w:pPr>
      <w:r w:rsidRPr="00124366">
        <w:rPr>
          <w:rStyle w:val="normaltextrun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3F37760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7B7DEA" w:rsidRPr="00CB1070">
        <w:rPr>
          <w:vertAlign w:val="superscript"/>
        </w:rPr>
        <w:t>1</w:t>
      </w:r>
    </w:p>
    <w:p w14:paraId="678C2974" w14:textId="7E3748A8" w:rsidR="00124366" w:rsidRPr="00124366" w:rsidRDefault="00124366" w:rsidP="0040750B">
      <w:pPr>
        <w:pStyle w:val="ListParagraph"/>
      </w:pPr>
      <w:proofErr w:type="spellStart"/>
      <w:r w:rsidRPr="00124366">
        <w:t>Trodelvy</w:t>
      </w:r>
      <w:proofErr w:type="spellEnd"/>
      <w:r w:rsidRPr="00124366">
        <w:t xml:space="preserve"> is indicated for the treatment of adult patients with unresectable locally advanced or metastatic triple-negative breast cancer (</w:t>
      </w:r>
      <w:proofErr w:type="spellStart"/>
      <w:r w:rsidRPr="00124366">
        <w:t>mTNBC</w:t>
      </w:r>
      <w:proofErr w:type="spellEnd"/>
      <w:r w:rsidRPr="00124366">
        <w:t>) who have received two or more prior systemic therapies, at least one of them for metastatic disease.</w:t>
      </w:r>
    </w:p>
    <w:p w14:paraId="071F23C1" w14:textId="29EB4A5F" w:rsidR="00124366" w:rsidRPr="00124366" w:rsidRDefault="00124366" w:rsidP="0040750B">
      <w:pPr>
        <w:pStyle w:val="ListParagraph"/>
      </w:pPr>
      <w:proofErr w:type="spellStart"/>
      <w:r w:rsidRPr="00124366">
        <w:t>Trodelvy</w:t>
      </w:r>
      <w:proofErr w:type="spellEnd"/>
      <w:r w:rsidRPr="00124366">
        <w:t xml:space="preserve"> is indicated for the treatment of adult patients with unresectable locally advanced or metastatic hormone receptor (HR)-positive, human epidermal growth factor receptor 2 (HER2)-negative (IHC 0, IHC 1+ or IHC 2+/ISH-) breast cancer who have received endocrine based therapy and at least two additional systemic therapies in the metastatic setting.</w:t>
      </w:r>
    </w:p>
    <w:p w14:paraId="0B5EC236" w14:textId="7ABFBE3D" w:rsidR="0044763A" w:rsidRPr="004E5C2B" w:rsidRDefault="009F2EF1" w:rsidP="0044763A">
      <w:pPr>
        <w:pStyle w:val="Heading3"/>
      </w:pPr>
      <w:r>
        <w:t>Compendial Uses</w:t>
      </w:r>
      <w:r w:rsidR="007B7DEA" w:rsidRPr="00CB1070">
        <w:rPr>
          <w:vertAlign w:val="superscript"/>
        </w:rPr>
        <w:t>2</w:t>
      </w:r>
    </w:p>
    <w:p w14:paraId="300C9E11" w14:textId="11242C28" w:rsidR="0040750B" w:rsidRPr="0040750B" w:rsidRDefault="0040750B" w:rsidP="0040750B">
      <w:pPr>
        <w:pStyle w:val="ListParagraph"/>
      </w:pPr>
      <w:r w:rsidRPr="0040750B">
        <w:t>Breast cancer</w:t>
      </w:r>
    </w:p>
    <w:p w14:paraId="6F18BF20" w14:textId="33BEAC96" w:rsidR="0040750B" w:rsidRPr="0040750B" w:rsidRDefault="0040750B" w:rsidP="0040750B">
      <w:pPr>
        <w:pStyle w:val="ListParagraph"/>
      </w:pPr>
      <w:r w:rsidRPr="0040750B">
        <w:t>Urothelial carcinoma</w:t>
      </w:r>
    </w:p>
    <w:p w14:paraId="23693460" w14:textId="34EFB6DB" w:rsidR="0040750B" w:rsidRPr="0040750B" w:rsidRDefault="0040750B" w:rsidP="00F01E9F">
      <w:pPr>
        <w:pStyle w:val="ListParagraph"/>
        <w:numPr>
          <w:ilvl w:val="1"/>
          <w:numId w:val="20"/>
        </w:numPr>
      </w:pPr>
      <w:r w:rsidRPr="0040750B">
        <w:t>Bladder cancer</w:t>
      </w:r>
    </w:p>
    <w:p w14:paraId="160B0332" w14:textId="6B46CA85" w:rsidR="0040750B" w:rsidRPr="0040750B" w:rsidRDefault="0040750B" w:rsidP="00F01E9F">
      <w:pPr>
        <w:pStyle w:val="ListParagraph"/>
        <w:numPr>
          <w:ilvl w:val="1"/>
          <w:numId w:val="20"/>
        </w:numPr>
      </w:pPr>
      <w:r w:rsidRPr="0040750B">
        <w:t>Primary carcinoma of the urethra</w:t>
      </w:r>
    </w:p>
    <w:p w14:paraId="3F86511B" w14:textId="15D43DCA" w:rsidR="0040750B" w:rsidRPr="0040750B" w:rsidRDefault="0040750B" w:rsidP="00F01E9F">
      <w:pPr>
        <w:pStyle w:val="ListParagraph"/>
        <w:numPr>
          <w:ilvl w:val="1"/>
          <w:numId w:val="20"/>
        </w:numPr>
      </w:pPr>
      <w:r w:rsidRPr="0040750B">
        <w:lastRenderedPageBreak/>
        <w:t>Upper genitourinary tract tumors</w:t>
      </w:r>
    </w:p>
    <w:p w14:paraId="1F11EA6A" w14:textId="0A533066" w:rsidR="009A5649" w:rsidRPr="00BD1CC1" w:rsidRDefault="0040750B" w:rsidP="00F01E9F">
      <w:pPr>
        <w:pStyle w:val="ListParagraph"/>
        <w:numPr>
          <w:ilvl w:val="1"/>
          <w:numId w:val="20"/>
        </w:numPr>
      </w:pPr>
      <w:r w:rsidRPr="0040750B">
        <w:t>Urothelial carcinoma of the prostate</w:t>
      </w:r>
    </w:p>
    <w:p w14:paraId="7459D6DA" w14:textId="7199CD65" w:rsidR="00401820" w:rsidRPr="005531E9" w:rsidRDefault="009A5649" w:rsidP="00AA1E6A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6CAE83F0" w:rsidR="000D2496" w:rsidRPr="00BD1CC1" w:rsidRDefault="000D2496" w:rsidP="000D2496">
      <w:pPr>
        <w:pStyle w:val="Heading2"/>
      </w:pPr>
      <w:r w:rsidRPr="00BD1CC1">
        <w:t>Documentation</w:t>
      </w:r>
    </w:p>
    <w:p w14:paraId="50F04A39" w14:textId="7E08834C" w:rsidR="005531E9" w:rsidRPr="005531E9" w:rsidRDefault="005531E9" w:rsidP="005531E9">
      <w:pPr>
        <w:pStyle w:val="BodyText"/>
      </w:pPr>
      <w:r w:rsidRPr="005531E9">
        <w:t>Submission of the following information is necessary to initiate the prior authorization review, where applicable: Test results confirming status of the following receptors:</w:t>
      </w:r>
    </w:p>
    <w:p w14:paraId="2D5C52C3" w14:textId="27A1F738" w:rsidR="005531E9" w:rsidRPr="005531E9" w:rsidRDefault="005531E9" w:rsidP="005531E9">
      <w:pPr>
        <w:pStyle w:val="ListParagraph"/>
      </w:pPr>
      <w:r w:rsidRPr="005531E9">
        <w:t>Human epidermal growth factor receptor 2 (HER2)</w:t>
      </w:r>
    </w:p>
    <w:p w14:paraId="49DFC573" w14:textId="0B95D585" w:rsidR="005531E9" w:rsidRPr="005531E9" w:rsidRDefault="005531E9" w:rsidP="005531E9">
      <w:pPr>
        <w:pStyle w:val="ListParagraph"/>
      </w:pPr>
      <w:r w:rsidRPr="005531E9">
        <w:t>Estrogen</w:t>
      </w:r>
    </w:p>
    <w:p w14:paraId="79C47276" w14:textId="0E2D0F4F" w:rsidR="00C75C02" w:rsidRPr="00BD1CC1" w:rsidRDefault="005531E9" w:rsidP="00C75C02">
      <w:pPr>
        <w:pStyle w:val="ListParagraph"/>
      </w:pPr>
      <w:r w:rsidRPr="005531E9">
        <w:t>Progesterone</w:t>
      </w:r>
    </w:p>
    <w:p w14:paraId="50A38FBA" w14:textId="71B101D1" w:rsidR="00FE0C63" w:rsidRPr="00AD24E3" w:rsidRDefault="00685107" w:rsidP="00E050E1">
      <w:pPr>
        <w:pStyle w:val="Heading2"/>
      </w:pPr>
      <w:r>
        <w:t>Coverage Criteria</w:t>
      </w:r>
    </w:p>
    <w:p w14:paraId="6CD32B3C" w14:textId="2E9FB101" w:rsidR="00132858" w:rsidRPr="00132858" w:rsidRDefault="00132858" w:rsidP="003F528E">
      <w:pPr>
        <w:pStyle w:val="Heading3"/>
      </w:pPr>
      <w:r w:rsidRPr="00132858">
        <w:t>Breast cancer</w:t>
      </w:r>
      <w:r w:rsidR="0080346C" w:rsidRPr="00CB1070">
        <w:rPr>
          <w:vertAlign w:val="superscript"/>
        </w:rPr>
        <w:t>1,2</w:t>
      </w:r>
    </w:p>
    <w:p w14:paraId="7C2E9FEB" w14:textId="3F56336D" w:rsidR="00132858" w:rsidRPr="00CB1070" w:rsidRDefault="00132858" w:rsidP="003F528E">
      <w:pPr>
        <w:pStyle w:val="BodyText"/>
      </w:pPr>
      <w:r w:rsidRPr="00132858">
        <w:t>Authorization of 12 months may be granted as a single agent for treatment of breast cancer when either of the following criteria are met:</w:t>
      </w:r>
    </w:p>
    <w:p w14:paraId="23B9F5C8" w14:textId="68FFC20C" w:rsidR="00132858" w:rsidRPr="00132858" w:rsidRDefault="00132858" w:rsidP="003F528E">
      <w:pPr>
        <w:pStyle w:val="ListParagraph"/>
      </w:pPr>
      <w:r w:rsidRPr="00132858">
        <w:t>The disease is recurrent unresectable, metastatic, or the member had no response to preoperative systemic therapy and all of the following criteria are met:</w:t>
      </w:r>
    </w:p>
    <w:p w14:paraId="3016B36D" w14:textId="36C44451" w:rsidR="00132858" w:rsidRPr="00132858" w:rsidRDefault="00132858" w:rsidP="00F01E9F">
      <w:pPr>
        <w:pStyle w:val="ListParagraph"/>
        <w:numPr>
          <w:ilvl w:val="1"/>
          <w:numId w:val="20"/>
        </w:numPr>
      </w:pPr>
      <w:r w:rsidRPr="00132858">
        <w:t>The diagnosis of triple-negative breast cancer is confirmed by the cancer cells testing negative for all of the following receptors:</w:t>
      </w:r>
    </w:p>
    <w:p w14:paraId="71EE3828" w14:textId="227D97DE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>Human epidermal growth factor receptor 2 (HER2)</w:t>
      </w:r>
    </w:p>
    <w:p w14:paraId="5AED5562" w14:textId="4737DB37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>Estrogen</w:t>
      </w:r>
    </w:p>
    <w:p w14:paraId="5DF17E5F" w14:textId="44E1B654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>Progesterone</w:t>
      </w:r>
    </w:p>
    <w:p w14:paraId="1489E053" w14:textId="7AB467AC" w:rsidR="00132858" w:rsidRPr="00132858" w:rsidRDefault="00132858" w:rsidP="00F01E9F">
      <w:pPr>
        <w:pStyle w:val="ListParagraph"/>
        <w:numPr>
          <w:ilvl w:val="1"/>
          <w:numId w:val="20"/>
        </w:numPr>
      </w:pPr>
      <w:r w:rsidRPr="00132858">
        <w:t xml:space="preserve">The member has received at least </w:t>
      </w:r>
      <w:r w:rsidR="00D0536C">
        <w:t>one</w:t>
      </w:r>
      <w:r w:rsidR="00D0536C" w:rsidRPr="00132858">
        <w:t xml:space="preserve"> </w:t>
      </w:r>
      <w:r w:rsidRPr="00132858">
        <w:t xml:space="preserve">prior </w:t>
      </w:r>
      <w:r w:rsidR="00D0536C">
        <w:t>regimen</w:t>
      </w:r>
      <w:r w:rsidRPr="00132858">
        <w:t>, with at least one line for metastatic disease.</w:t>
      </w:r>
    </w:p>
    <w:p w14:paraId="086F9384" w14:textId="75FA2386" w:rsidR="00132858" w:rsidRPr="00132858" w:rsidRDefault="00132858" w:rsidP="003F528E">
      <w:pPr>
        <w:pStyle w:val="ListParagraph"/>
      </w:pPr>
      <w:r w:rsidRPr="00132858">
        <w:t>The disease is recurrent unresectable or metastatic, or the member had no response to preoperative systemic therapy and all of the following criteria are met:</w:t>
      </w:r>
    </w:p>
    <w:p w14:paraId="3B7AEDBE" w14:textId="1831B734" w:rsidR="00132858" w:rsidRPr="00132858" w:rsidRDefault="00132858" w:rsidP="00F01E9F">
      <w:pPr>
        <w:pStyle w:val="ListParagraph"/>
        <w:numPr>
          <w:ilvl w:val="1"/>
          <w:numId w:val="20"/>
        </w:numPr>
      </w:pPr>
      <w:r w:rsidRPr="00132858">
        <w:t>The cancer cells are hormone receptor positive and human epidermal growth factor receptor 2 (HER2)-negative.</w:t>
      </w:r>
    </w:p>
    <w:p w14:paraId="75FF741A" w14:textId="464E128B" w:rsidR="00132858" w:rsidRPr="00132858" w:rsidRDefault="00132858" w:rsidP="00F01E9F">
      <w:pPr>
        <w:pStyle w:val="ListParagraph"/>
        <w:numPr>
          <w:ilvl w:val="1"/>
          <w:numId w:val="20"/>
        </w:numPr>
      </w:pPr>
      <w:r w:rsidRPr="00132858">
        <w:t>The member has received prior treatment including all of the following:</w:t>
      </w:r>
    </w:p>
    <w:p w14:paraId="641600BB" w14:textId="3C2A315E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>Endocrine therapy (e.g., anastrozole, letrozole, fulvestrant)</w:t>
      </w:r>
    </w:p>
    <w:p w14:paraId="3B26E65E" w14:textId="39B4B8F1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 xml:space="preserve">A CDK4/6 inhibitor (e.g., </w:t>
      </w:r>
      <w:proofErr w:type="spellStart"/>
      <w:r w:rsidRPr="00132858">
        <w:t>abemaciclib</w:t>
      </w:r>
      <w:proofErr w:type="spellEnd"/>
      <w:r w:rsidRPr="00132858">
        <w:t xml:space="preserve">, palbociclib, </w:t>
      </w:r>
      <w:proofErr w:type="spellStart"/>
      <w:r w:rsidRPr="00132858">
        <w:t>ribociclib</w:t>
      </w:r>
      <w:proofErr w:type="spellEnd"/>
      <w:r w:rsidRPr="00132858">
        <w:t>)</w:t>
      </w:r>
    </w:p>
    <w:p w14:paraId="5E607538" w14:textId="6527CE90" w:rsidR="00132858" w:rsidRPr="00132858" w:rsidRDefault="00132858" w:rsidP="00F01E9F">
      <w:pPr>
        <w:pStyle w:val="ListParagraph"/>
        <w:numPr>
          <w:ilvl w:val="2"/>
          <w:numId w:val="20"/>
        </w:numPr>
      </w:pPr>
      <w:r w:rsidRPr="00132858">
        <w:t>At least two lines of chemotherapy (including a taxane) at least one of which was in the metastatic setting</w:t>
      </w:r>
    </w:p>
    <w:p w14:paraId="372FDC50" w14:textId="432C626C" w:rsidR="00132858" w:rsidRPr="00640281" w:rsidRDefault="00132858" w:rsidP="00F01E9F">
      <w:pPr>
        <w:pStyle w:val="ListParagraph"/>
        <w:numPr>
          <w:ilvl w:val="1"/>
          <w:numId w:val="20"/>
        </w:numPr>
      </w:pPr>
      <w:r w:rsidRPr="00132858">
        <w:t xml:space="preserve">Member is not a candidate for fam-trastuzumab </w:t>
      </w:r>
      <w:proofErr w:type="spellStart"/>
      <w:r w:rsidRPr="00132858">
        <w:t>deruxtecan-nxki</w:t>
      </w:r>
      <w:proofErr w:type="spellEnd"/>
      <w:r w:rsidRPr="00132858">
        <w:t xml:space="preserve"> (Enhertu).</w:t>
      </w:r>
    </w:p>
    <w:p w14:paraId="4223B1D1" w14:textId="28F2166F" w:rsidR="00132858" w:rsidRPr="00132858" w:rsidRDefault="00132858" w:rsidP="00640281">
      <w:pPr>
        <w:pStyle w:val="Heading3"/>
      </w:pPr>
      <w:r w:rsidRPr="00132858">
        <w:lastRenderedPageBreak/>
        <w:t>Urothelial Carcinoma – Bladder Cancer</w:t>
      </w:r>
      <w:r w:rsidR="00D0536C" w:rsidRPr="00CB1070">
        <w:rPr>
          <w:vertAlign w:val="superscript"/>
        </w:rPr>
        <w:t>2</w:t>
      </w:r>
    </w:p>
    <w:p w14:paraId="6E698713" w14:textId="6A5365EE" w:rsidR="00132858" w:rsidRPr="00CB1070" w:rsidRDefault="00132858" w:rsidP="00640281">
      <w:pPr>
        <w:pStyle w:val="BodyText"/>
      </w:pPr>
      <w:r w:rsidRPr="00132858">
        <w:t xml:space="preserve">Authorization of 12 months may be granted as a single agent for subsequent treatment of </w:t>
      </w:r>
      <w:r w:rsidR="008846BD">
        <w:t>stage II</w:t>
      </w:r>
      <w:r w:rsidR="00047686">
        <w:t>,</w:t>
      </w:r>
      <w:r w:rsidR="008846BD">
        <w:t xml:space="preserve"> </w:t>
      </w:r>
      <w:r w:rsidRPr="00132858">
        <w:t>recurrent, persistent, or metastatic bladder cancer in members who have received a platinum-containing chemotherapy and either a programmed death receptor-1 (PD-1) or a programmed death-ligand 1 (PD-L1) inhibitor.</w:t>
      </w:r>
    </w:p>
    <w:p w14:paraId="199213F5" w14:textId="1C7A51DA" w:rsidR="00132858" w:rsidRPr="00CB1070" w:rsidRDefault="00132858" w:rsidP="00640281">
      <w:pPr>
        <w:pStyle w:val="Heading3"/>
      </w:pPr>
      <w:r w:rsidRPr="00132858">
        <w:t>Urothelial Carcinoma – Primary Carcinoma of the Urethra</w:t>
      </w:r>
      <w:r w:rsidR="008846BD" w:rsidRPr="00CB1070">
        <w:rPr>
          <w:vertAlign w:val="superscript"/>
        </w:rPr>
        <w:t>2</w:t>
      </w:r>
    </w:p>
    <w:p w14:paraId="6ECDDC14" w14:textId="1BA2CB60" w:rsidR="00132858" w:rsidRPr="00132858" w:rsidRDefault="00132858" w:rsidP="00640281">
      <w:pPr>
        <w:pStyle w:val="BodyText"/>
        <w:rPr>
          <w:rFonts w:ascii="Segoe UI" w:hAnsi="Segoe UI" w:cs="Segoe UI"/>
          <w:sz w:val="18"/>
          <w:szCs w:val="18"/>
        </w:rPr>
      </w:pPr>
      <w:r w:rsidRPr="00132858">
        <w:t>Authorization of 12 months may be granted as a single agent for subsequent treatment of recurrent or metastatic primary carcinoma of the urethra in members who have received a platinum-containing chemotherapy and either a programmed death receptor-1 (PD-1) or a programmed death-ligand 1 (PD-L1) inhibitor. </w:t>
      </w:r>
    </w:p>
    <w:p w14:paraId="6A80EDCA" w14:textId="4F60D7AC" w:rsidR="00132858" w:rsidRPr="00132858" w:rsidRDefault="00132858" w:rsidP="00640281">
      <w:pPr>
        <w:pStyle w:val="Heading3"/>
      </w:pPr>
      <w:r w:rsidRPr="00132858">
        <w:t>Urothelial Carcinoma – Upper Genitourinary Tract Tumors or Urothelial Carcinoma of the Prostate</w:t>
      </w:r>
      <w:r w:rsidR="00AF5A93" w:rsidRPr="00CB1070">
        <w:rPr>
          <w:vertAlign w:val="superscript"/>
        </w:rPr>
        <w:t>2</w:t>
      </w:r>
    </w:p>
    <w:p w14:paraId="30708AA0" w14:textId="513ECB5B" w:rsidR="00165258" w:rsidRPr="00640281" w:rsidRDefault="00132858" w:rsidP="00165258">
      <w:pPr>
        <w:pStyle w:val="BodyText"/>
        <w:rPr>
          <w:rFonts w:ascii="Segoe UI" w:hAnsi="Segoe UI" w:cs="Segoe UI"/>
          <w:sz w:val="18"/>
          <w:szCs w:val="18"/>
        </w:rPr>
      </w:pPr>
      <w:r w:rsidRPr="00132858">
        <w:t>Authorization of 12 months may be granted as a single agent for subsequent treatment of metastatic upper genitourinary tract tumors or urothelial carcinoma (UC) of the prostate in members who have received a platinum-containing chemotherapy and either a programmed death receptor-1 (PD-1) or a programmed death-ligand 1 (PD-L1) inhibitor. </w:t>
      </w:r>
    </w:p>
    <w:p w14:paraId="3A643EC3" w14:textId="0A474764" w:rsidR="00A501AC" w:rsidRPr="00BD1CC1" w:rsidRDefault="00A501AC" w:rsidP="00A501AC">
      <w:pPr>
        <w:pStyle w:val="Heading2"/>
      </w:pPr>
      <w:r w:rsidRPr="00BD1CC1">
        <w:t>Continuation of Therapy</w:t>
      </w:r>
    </w:p>
    <w:p w14:paraId="0BC9FFD3" w14:textId="7E8819A0" w:rsidR="00FD000B" w:rsidRPr="000D019C" w:rsidRDefault="000D019C" w:rsidP="000D019C">
      <w:pPr>
        <w:pStyle w:val="BodyText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0D019C">
        <w:rPr>
          <w:rStyle w:val="normaltextrun"/>
        </w:rPr>
        <w:t xml:space="preserve">Authorization of 12 months may be granted for continued treatment in members requesting reauthorization for an indication listed in </w:t>
      </w:r>
      <w:r w:rsidR="00AF5A93">
        <w:rPr>
          <w:rStyle w:val="normaltextrun"/>
        </w:rPr>
        <w:t>the coverage criteria section</w:t>
      </w:r>
      <w:r w:rsidRPr="000D019C">
        <w:rPr>
          <w:rStyle w:val="normaltextrun"/>
        </w:rPr>
        <w:t xml:space="preserve"> when there is no evidence of unacceptable toxicity or disease progression while on the current regimen.</w:t>
      </w:r>
    </w:p>
    <w:p w14:paraId="10DA4309" w14:textId="464C1C84" w:rsidR="00FF66BF" w:rsidRPr="008D1B34" w:rsidRDefault="00FF66BF" w:rsidP="00FF66BF">
      <w:pPr>
        <w:pStyle w:val="Heading2"/>
      </w:pPr>
      <w:r w:rsidRPr="008D1B34">
        <w:t>References</w:t>
      </w:r>
    </w:p>
    <w:p w14:paraId="485E0970" w14:textId="710C5525" w:rsidR="00AB3130" w:rsidRPr="00802F84" w:rsidRDefault="00AB3130" w:rsidP="00802F84">
      <w:pPr>
        <w:pStyle w:val="ReferenceOrdered"/>
      </w:pPr>
      <w:proofErr w:type="spellStart"/>
      <w:r w:rsidRPr="00802F84">
        <w:t>Trodelvy</w:t>
      </w:r>
      <w:proofErr w:type="spellEnd"/>
      <w:r w:rsidRPr="00802F84">
        <w:t xml:space="preserve"> [package insert]. Foster City, CA: Gilead Sciences, Inc; </w:t>
      </w:r>
      <w:r w:rsidR="00653284">
        <w:t xml:space="preserve">November </w:t>
      </w:r>
      <w:r w:rsidR="0025533E">
        <w:t>2024</w:t>
      </w:r>
      <w:r w:rsidRPr="00802F84">
        <w:t>.</w:t>
      </w:r>
    </w:p>
    <w:p w14:paraId="2C06CE48" w14:textId="012B6CA6" w:rsidR="006E692D" w:rsidRPr="00802F84" w:rsidRDefault="00AB3130" w:rsidP="006E692D">
      <w:pPr>
        <w:pStyle w:val="ReferenceOrdered"/>
      </w:pPr>
      <w:r w:rsidRPr="00802F84">
        <w:t xml:space="preserve">The NCCN Drugs &amp; Biologics Compendium® © </w:t>
      </w:r>
      <w:r w:rsidR="0025533E" w:rsidRPr="00802F84">
        <w:t>202</w:t>
      </w:r>
      <w:r w:rsidR="0025533E">
        <w:t>4</w:t>
      </w:r>
      <w:r w:rsidR="0025533E" w:rsidRPr="00802F84">
        <w:t xml:space="preserve"> </w:t>
      </w:r>
      <w:r w:rsidRPr="00802F84">
        <w:t xml:space="preserve">National Comprehensive Cancer Network, Inc. https://www.nccn.org. Accessed </w:t>
      </w:r>
      <w:r w:rsidR="00653284">
        <w:t>December</w:t>
      </w:r>
      <w:r w:rsidR="0025533E">
        <w:t xml:space="preserve"> 13, 2024</w:t>
      </w:r>
      <w:r w:rsidRPr="00802F84">
        <w:t>.</w:t>
      </w:r>
    </w:p>
    <w:sectPr w:rsidR="006E692D" w:rsidRPr="00802F84" w:rsidSect="001953B8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AE639" w14:textId="77777777" w:rsidR="00DA695B" w:rsidRDefault="00DA695B">
      <w:r>
        <w:separator/>
      </w:r>
    </w:p>
  </w:endnote>
  <w:endnote w:type="continuationSeparator" w:id="0">
    <w:p w14:paraId="5C2E4588" w14:textId="77777777" w:rsidR="00DA695B" w:rsidRDefault="00DA695B">
      <w:r>
        <w:continuationSeparator/>
      </w:r>
    </w:p>
  </w:endnote>
  <w:endnote w:type="continuationNotice" w:id="1">
    <w:p w14:paraId="6BC500D0" w14:textId="77777777" w:rsidR="00DA695B" w:rsidRDefault="00DA6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E2E626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F5482" w:rsidRPr="00BF5482">
      <w:rPr>
        <w:rFonts w:cs="Arial"/>
        <w:noProof/>
        <w:sz w:val="16"/>
        <w:szCs w:val="16"/>
      </w:rPr>
      <w:t>Trodelvy</w:t>
    </w:r>
    <w:r w:rsidR="00BF5482">
      <w:rPr>
        <w:rFonts w:cs="Arial"/>
        <w:noProof/>
        <w:snapToGrid w:val="0"/>
        <w:color w:val="000000"/>
        <w:sz w:val="16"/>
        <w:szCs w:val="16"/>
      </w:rPr>
      <w:t xml:space="preserve"> SGM 3818-A</w:t>
    </w:r>
    <w:r w:rsidR="00BF5482" w:rsidRPr="00BF548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63DF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9D1C15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913F381" w:rsidR="00F75C81" w:rsidRPr="00AA1E6A" w:rsidRDefault="00C36B72" w:rsidP="00CB107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F210E4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F5482" w:rsidRPr="00BF5482">
      <w:rPr>
        <w:rFonts w:cs="Arial"/>
        <w:noProof/>
        <w:sz w:val="16"/>
        <w:szCs w:val="16"/>
      </w:rPr>
      <w:t>Trodelvy</w:t>
    </w:r>
    <w:r w:rsidR="00BF5482">
      <w:rPr>
        <w:rFonts w:cs="Arial"/>
        <w:noProof/>
        <w:snapToGrid w:val="0"/>
        <w:color w:val="000000"/>
        <w:sz w:val="16"/>
        <w:szCs w:val="16"/>
      </w:rPr>
      <w:t xml:space="preserve"> SGM 3818-A</w:t>
    </w:r>
    <w:r w:rsidR="00BF5482" w:rsidRPr="00BF548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63DF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B5800E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17D03EB" w:rsidR="00ED04EC" w:rsidRPr="00F50D98" w:rsidRDefault="00F50D98" w:rsidP="00CB107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718A" w14:textId="77777777" w:rsidR="00DA695B" w:rsidRDefault="00DA695B">
      <w:r>
        <w:separator/>
      </w:r>
    </w:p>
  </w:footnote>
  <w:footnote w:type="continuationSeparator" w:id="0">
    <w:p w14:paraId="0316B44D" w14:textId="77777777" w:rsidR="00DA695B" w:rsidRDefault="00DA695B">
      <w:r>
        <w:continuationSeparator/>
      </w:r>
    </w:p>
  </w:footnote>
  <w:footnote w:type="continuationNotice" w:id="1">
    <w:p w14:paraId="09A2D415" w14:textId="77777777" w:rsidR="00DA695B" w:rsidRDefault="00DA6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68D6539" w:rsidR="002C5070" w:rsidRPr="002C5070" w:rsidRDefault="00CB1070" w:rsidP="00ED04E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2C5070">
            <w:rPr>
              <w:rFonts w:cs="Arial"/>
              <w:sz w:val="16"/>
              <w:szCs w:val="16"/>
            </w:rPr>
            <w:t>3818-</w:t>
          </w:r>
          <w:r w:rsidR="002C5070" w:rsidRPr="002C5070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17"/>
  </w:num>
  <w:num w:numId="3" w16cid:durableId="611589570">
    <w:abstractNumId w:val="1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4"/>
  </w:num>
  <w:num w:numId="17" w16cid:durableId="2128498676">
    <w:abstractNumId w:val="18"/>
  </w:num>
  <w:num w:numId="18" w16cid:durableId="299724409">
    <w:abstractNumId w:val="16"/>
  </w:num>
  <w:num w:numId="19" w16cid:durableId="214585573">
    <w:abstractNumId w:val="13"/>
  </w:num>
  <w:num w:numId="20" w16cid:durableId="1066490929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686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1E81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19C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6E0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366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85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D3C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3B8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33E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C0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070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50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6ED"/>
    <w:rsid w:val="00310A1D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84B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48B"/>
    <w:rsid w:val="003F528E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50B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5C2B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1E9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A07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281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284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8B8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92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5F3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B7DEA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41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6EB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60C"/>
    <w:rsid w:val="007F6891"/>
    <w:rsid w:val="00801D9D"/>
    <w:rsid w:val="00801FD8"/>
    <w:rsid w:val="00802917"/>
    <w:rsid w:val="00802E1E"/>
    <w:rsid w:val="00802F84"/>
    <w:rsid w:val="0080346C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5E52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6BD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8F7B79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233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907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1F6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B2E"/>
    <w:rsid w:val="00A84CB5"/>
    <w:rsid w:val="00A85D18"/>
    <w:rsid w:val="00A8608E"/>
    <w:rsid w:val="00A86211"/>
    <w:rsid w:val="00A87B90"/>
    <w:rsid w:val="00A87BF7"/>
    <w:rsid w:val="00A87E51"/>
    <w:rsid w:val="00A9069E"/>
    <w:rsid w:val="00A923EA"/>
    <w:rsid w:val="00A93B35"/>
    <w:rsid w:val="00A94105"/>
    <w:rsid w:val="00A946C6"/>
    <w:rsid w:val="00A94A0D"/>
    <w:rsid w:val="00A9526B"/>
    <w:rsid w:val="00A95F67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130"/>
    <w:rsid w:val="00AB3600"/>
    <w:rsid w:val="00AB3A4C"/>
    <w:rsid w:val="00AB3ACD"/>
    <w:rsid w:val="00AB3B7A"/>
    <w:rsid w:val="00AB4D92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4E3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A93"/>
    <w:rsid w:val="00AF6487"/>
    <w:rsid w:val="00AF6F09"/>
    <w:rsid w:val="00B00963"/>
    <w:rsid w:val="00B01716"/>
    <w:rsid w:val="00B01BDE"/>
    <w:rsid w:val="00B02279"/>
    <w:rsid w:val="00B03227"/>
    <w:rsid w:val="00B037EE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9A3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482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3E3F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55D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070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36C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3DF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3CB"/>
    <w:rsid w:val="00D30248"/>
    <w:rsid w:val="00D30A4B"/>
    <w:rsid w:val="00D314DB"/>
    <w:rsid w:val="00D31A54"/>
    <w:rsid w:val="00D32129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18B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347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95B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2D8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584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1E9F"/>
    <w:rsid w:val="00F043C9"/>
    <w:rsid w:val="00F04FA6"/>
    <w:rsid w:val="00F0554B"/>
    <w:rsid w:val="00F07EE5"/>
    <w:rsid w:val="00F10609"/>
    <w:rsid w:val="00F116E5"/>
    <w:rsid w:val="00F11DB4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3DFD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scxw68114875">
    <w:name w:val="scxw68114875"/>
    <w:basedOn w:val="DefaultParagraphFont"/>
    <w:rsid w:val="00124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3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8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3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757c461-07c7-44e1-99a5-77c6cc8be592"/>
    <ds:schemaRef ds:uri="http://schemas.microsoft.com/sharepoint/v4"/>
    <ds:schemaRef ds:uri="http://purl.org/dc/terms/"/>
    <ds:schemaRef ds:uri="http://schemas.microsoft.com/office/infopath/2007/PartnerControls"/>
    <ds:schemaRef ds:uri="http://schemas.microsoft.com/office/2006/documentManagement/types"/>
    <ds:schemaRef ds:uri="eb403b6b-7b96-4fe7-afcc-b3d44ddfb7d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4524A4-F156-47E4-BFC6-A82002FEF6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672</Words>
  <Characters>4045</Characters>
  <Application>Microsoft Office Word</Application>
  <DocSecurity>0</DocSecurity>
  <Lines>82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Trodelvy SGM 3818-A</dc:title>
  <dc:subject>Trodelvy SGM 3818-A</dc:subject>
  <dc:creator>CVS Caremark</dc:creator>
  <cp:keywords/>
  <cp:lastModifiedBy>Ortiz, Erica M</cp:lastModifiedBy>
  <cp:revision>4</cp:revision>
  <cp:lastPrinted>2018-01-09T05:01:00Z</cp:lastPrinted>
  <dcterms:created xsi:type="dcterms:W3CDTF">2025-05-08T21:54:00Z</dcterms:created>
  <dcterms:modified xsi:type="dcterms:W3CDTF">2025-05-08T21:55:00Z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334100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